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33984344" w:rsidR="00B851B6" w:rsidRPr="00112CAB" w:rsidRDefault="00DF122B" w:rsidP="003B2976">
      <w:pPr>
        <w:spacing w:after="0" w:line="240" w:lineRule="auto"/>
        <w:jc w:val="center"/>
        <w:rPr>
          <w:b/>
          <w:sz w:val="36"/>
        </w:rPr>
      </w:pPr>
      <w:r w:rsidRPr="00112CAB">
        <w:rPr>
          <w:b/>
          <w:sz w:val="36"/>
        </w:rPr>
        <w:t xml:space="preserve">FINANCOVÁNÍ </w:t>
      </w:r>
      <w:r w:rsidR="002334CE" w:rsidRPr="00112CAB">
        <w:rPr>
          <w:b/>
          <w:sz w:val="36"/>
        </w:rPr>
        <w:t>DOTAČNÍCH A GRANTOVÝCH PROJEKTŮ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055533E5" w14:textId="36E6A149" w:rsidR="00860491" w:rsidRPr="00F74C9B" w:rsidRDefault="00860491" w:rsidP="00F74C9B">
      <w:pPr>
        <w:spacing w:after="0" w:line="240" w:lineRule="auto"/>
        <w:rPr>
          <w:b/>
          <w:sz w:val="24"/>
        </w:rPr>
      </w:pPr>
      <w:proofErr w:type="gramStart"/>
      <w:r w:rsidRPr="00F74C9B">
        <w:rPr>
          <w:b/>
          <w:sz w:val="24"/>
        </w:rPr>
        <w:t xml:space="preserve">Pilíř:  </w:t>
      </w:r>
      <w:r w:rsidRPr="00F74C9B">
        <w:rPr>
          <w:b/>
          <w:sz w:val="24"/>
        </w:rPr>
        <w:tab/>
      </w:r>
      <w:proofErr w:type="gramEnd"/>
      <w:r w:rsidR="00F74C9B">
        <w:rPr>
          <w:b/>
          <w:sz w:val="24"/>
        </w:rPr>
        <w:tab/>
      </w:r>
      <w:r w:rsidRPr="00F74C9B">
        <w:rPr>
          <w:b/>
          <w:sz w:val="24"/>
        </w:rPr>
        <w:t>3. Národní start-up a spin-</w:t>
      </w:r>
      <w:proofErr w:type="spellStart"/>
      <w:r w:rsidRPr="00F74C9B">
        <w:rPr>
          <w:b/>
          <w:sz w:val="24"/>
        </w:rPr>
        <w:t>off</w:t>
      </w:r>
      <w:proofErr w:type="spellEnd"/>
      <w:r w:rsidRPr="00F74C9B">
        <w:rPr>
          <w:b/>
          <w:sz w:val="24"/>
        </w:rPr>
        <w:t xml:space="preserve"> prostředí</w:t>
      </w:r>
    </w:p>
    <w:p w14:paraId="56A2C915" w14:textId="629C5557" w:rsidR="00F74C9B" w:rsidRPr="00F74C9B" w:rsidRDefault="00F74C9B" w:rsidP="00F74C9B">
      <w:pPr>
        <w:spacing w:after="0" w:line="240" w:lineRule="auto"/>
        <w:rPr>
          <w:b/>
          <w:sz w:val="24"/>
        </w:rPr>
      </w:pPr>
      <w:r w:rsidRPr="00F74C9B">
        <w:rPr>
          <w:b/>
          <w:sz w:val="24"/>
        </w:rPr>
        <w:t>Nástroje:</w:t>
      </w:r>
      <w:r w:rsidRPr="00F74C9B">
        <w:rPr>
          <w:b/>
          <w:sz w:val="24"/>
        </w:rPr>
        <w:tab/>
      </w:r>
      <w:r w:rsidRPr="00F74C9B">
        <w:rPr>
          <w:sz w:val="24"/>
        </w:rPr>
        <w:t xml:space="preserve">Vytvoření nástrojů účelové podpory VVI v rámci TAČR </w:t>
      </w:r>
      <w:proofErr w:type="spellStart"/>
      <w:r w:rsidRPr="00F74C9B">
        <w:rPr>
          <w:sz w:val="24"/>
        </w:rPr>
        <w:t>por</w:t>
      </w:r>
      <w:proofErr w:type="spellEnd"/>
      <w:r w:rsidRPr="00F74C9B">
        <w:rPr>
          <w:sz w:val="24"/>
        </w:rPr>
        <w:t xml:space="preserve"> </w:t>
      </w:r>
      <w:proofErr w:type="spellStart"/>
      <w:r w:rsidRPr="00F74C9B">
        <w:rPr>
          <w:sz w:val="24"/>
        </w:rPr>
        <w:t>startups</w:t>
      </w:r>
      <w:proofErr w:type="spellEnd"/>
      <w:r w:rsidRPr="00F74C9B">
        <w:rPr>
          <w:sz w:val="24"/>
        </w:rPr>
        <w:t xml:space="preserve"> a spin-</w:t>
      </w:r>
      <w:proofErr w:type="spellStart"/>
      <w:r w:rsidRPr="00F74C9B">
        <w:rPr>
          <w:sz w:val="24"/>
        </w:rPr>
        <w:t>offs</w:t>
      </w:r>
      <w:proofErr w:type="spellEnd"/>
    </w:p>
    <w:p w14:paraId="3E090A17" w14:textId="77777777" w:rsidR="00F74C9B" w:rsidRPr="00F74C9B" w:rsidRDefault="00F74C9B" w:rsidP="00F74C9B">
      <w:pPr>
        <w:spacing w:after="0" w:line="240" w:lineRule="auto"/>
        <w:ind w:left="708" w:firstLine="708"/>
        <w:rPr>
          <w:sz w:val="24"/>
        </w:rPr>
      </w:pPr>
      <w:r w:rsidRPr="00F74C9B">
        <w:rPr>
          <w:sz w:val="24"/>
        </w:rPr>
        <w:t xml:space="preserve">Vytvoření výzev operačních programů 2020+ pro oblast </w:t>
      </w:r>
      <w:proofErr w:type="spellStart"/>
      <w:r w:rsidRPr="00F74C9B">
        <w:rPr>
          <w:sz w:val="24"/>
        </w:rPr>
        <w:t>startups</w:t>
      </w:r>
      <w:proofErr w:type="spellEnd"/>
      <w:r w:rsidRPr="00F74C9B">
        <w:rPr>
          <w:sz w:val="24"/>
        </w:rPr>
        <w:t xml:space="preserve"> a spin-</w:t>
      </w:r>
      <w:proofErr w:type="spellStart"/>
      <w:r w:rsidRPr="00F74C9B">
        <w:rPr>
          <w:sz w:val="24"/>
        </w:rPr>
        <w:t>offs</w:t>
      </w:r>
      <w:proofErr w:type="spellEnd"/>
    </w:p>
    <w:p w14:paraId="5C9236A3" w14:textId="7BD4D790" w:rsidR="00F74C9B" w:rsidRPr="00F74C9B" w:rsidRDefault="00F74C9B" w:rsidP="00F74C9B">
      <w:pPr>
        <w:spacing w:after="0" w:line="240" w:lineRule="auto"/>
        <w:ind w:left="708" w:firstLine="708"/>
        <w:rPr>
          <w:sz w:val="24"/>
        </w:rPr>
      </w:pPr>
      <w:r w:rsidRPr="00F74C9B">
        <w:rPr>
          <w:sz w:val="24"/>
        </w:rPr>
        <w:t>Vytvoření investičních schémat dle mezinárodních modelů</w:t>
      </w:r>
    </w:p>
    <w:p w14:paraId="1E8C0CB8" w14:textId="5A540BE8" w:rsidR="000E73BE" w:rsidRDefault="00F74C9B" w:rsidP="00F74C9B">
      <w:pPr>
        <w:spacing w:before="120" w:after="0" w:line="240" w:lineRule="auto"/>
        <w:jc w:val="both"/>
        <w:rPr>
          <w:b/>
        </w:rPr>
      </w:pPr>
      <w:r w:rsidRPr="00F74C9B">
        <w:rPr>
          <w:b/>
        </w:rPr>
        <w:t>Cíl</w:t>
      </w:r>
      <w:r>
        <w:t>: V</w:t>
      </w:r>
      <w:r w:rsidR="005D04F0">
        <w:t xml:space="preserve">ytvoření jednoduchého schématu </w:t>
      </w:r>
      <w:r w:rsidR="00461EA5">
        <w:t>s konkrétními programy podpory, které pokryjí kritickou fázi (</w:t>
      </w:r>
      <w:proofErr w:type="spellStart"/>
      <w:r w:rsidR="00461EA5">
        <w:t>life</w:t>
      </w:r>
      <w:proofErr w:type="spellEnd"/>
      <w:r w:rsidR="00461EA5">
        <w:t xml:space="preserve"> </w:t>
      </w:r>
      <w:proofErr w:type="spellStart"/>
      <w:r w:rsidR="00461EA5">
        <w:t>cycle</w:t>
      </w:r>
      <w:proofErr w:type="spellEnd"/>
      <w:r w:rsidR="00461EA5">
        <w:t xml:space="preserve">) vývoje firmy, budou snadno dosažitelné a </w:t>
      </w:r>
      <w:r w:rsidR="007965F6">
        <w:t>nebudou „závislé“ na projektových</w:t>
      </w:r>
      <w:r w:rsidR="00B85EC1">
        <w:t xml:space="preserve"> financích, které často nekorespondují s potřebami firem. </w:t>
      </w:r>
      <w:r>
        <w:t xml:space="preserve">Navazuje tak na </w:t>
      </w:r>
      <w:r w:rsidRPr="007C3395">
        <w:t>cíl</w:t>
      </w:r>
      <w:r w:rsidR="007C3395" w:rsidRPr="007C3395">
        <w:t>e</w:t>
      </w:r>
      <w:r w:rsidRPr="00F74C9B">
        <w:rPr>
          <w:b/>
          <w:i/>
        </w:rPr>
        <w:t xml:space="preserve"> Vytvořit ucelený program financování s národní podporou pro segment </w:t>
      </w:r>
      <w:proofErr w:type="spellStart"/>
      <w:r w:rsidRPr="00F74C9B">
        <w:rPr>
          <w:b/>
          <w:i/>
        </w:rPr>
        <w:t>startups</w:t>
      </w:r>
      <w:proofErr w:type="spellEnd"/>
      <w:r>
        <w:t xml:space="preserve"> a </w:t>
      </w:r>
      <w:r w:rsidRPr="00F74C9B">
        <w:rPr>
          <w:b/>
          <w:i/>
        </w:rPr>
        <w:t xml:space="preserve">Připravit program účelové podpory TAČR pro </w:t>
      </w:r>
      <w:proofErr w:type="spellStart"/>
      <w:r w:rsidRPr="00F74C9B">
        <w:rPr>
          <w:b/>
          <w:i/>
        </w:rPr>
        <w:t>startups</w:t>
      </w:r>
      <w:proofErr w:type="spellEnd"/>
      <w:r w:rsidRPr="00F74C9B">
        <w:rPr>
          <w:b/>
          <w:i/>
        </w:rPr>
        <w:t xml:space="preserve"> a spin-</w:t>
      </w:r>
      <w:proofErr w:type="spellStart"/>
      <w:r w:rsidRPr="00F74C9B">
        <w:rPr>
          <w:b/>
          <w:i/>
        </w:rPr>
        <w:t>offs</w:t>
      </w:r>
      <w:proofErr w:type="spellEnd"/>
      <w:r w:rsidR="007C3395">
        <w:t xml:space="preserve"> uvedených v IS 2030.</w:t>
      </w:r>
    </w:p>
    <w:p w14:paraId="41057AE5" w14:textId="7FF929FF" w:rsidR="00C53433" w:rsidRDefault="00B851B6" w:rsidP="007C3395">
      <w:pPr>
        <w:spacing w:before="120" w:after="120" w:line="240" w:lineRule="auto"/>
        <w:jc w:val="both"/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666306">
        <w:t xml:space="preserve">Již několik let je zdůrazňována potřeba zavedení vhodných </w:t>
      </w:r>
      <w:r w:rsidR="00461EA5">
        <w:t xml:space="preserve">podpůrných programů či </w:t>
      </w:r>
      <w:r w:rsidR="00666306">
        <w:t xml:space="preserve">nástrojů pro startupy. </w:t>
      </w:r>
      <w:r w:rsidR="00D97646">
        <w:t>Některé projekty realizuje</w:t>
      </w:r>
      <w:r w:rsidR="00666306">
        <w:t xml:space="preserve"> CzechInvest (mentoring, poradenství a internacionalizac</w:t>
      </w:r>
      <w:r w:rsidR="00D97646">
        <w:t>i</w:t>
      </w:r>
      <w:r w:rsidR="00666306">
        <w:t>)</w:t>
      </w:r>
      <w:r w:rsidR="00D97646">
        <w:t xml:space="preserve">, některé </w:t>
      </w:r>
      <w:r w:rsidR="00643952">
        <w:t xml:space="preserve">jsou </w:t>
      </w:r>
      <w:r w:rsidR="00D97646">
        <w:t>z ESIF fondů</w:t>
      </w:r>
      <w:r w:rsidR="00FF6DEA">
        <w:t xml:space="preserve"> (Inovační vouchery, Technologie)</w:t>
      </w:r>
      <w:r w:rsidR="00461EA5">
        <w:t xml:space="preserve">, </w:t>
      </w:r>
      <w:r w:rsidR="007C4FBE">
        <w:t>někter</w:t>
      </w:r>
      <w:r w:rsidR="00D97646">
        <w:t>é</w:t>
      </w:r>
      <w:r w:rsidR="007C4FBE">
        <w:t xml:space="preserve"> </w:t>
      </w:r>
      <w:r w:rsidR="00461EA5">
        <w:t>regionální</w:t>
      </w:r>
      <w:r w:rsidR="00D97646">
        <w:t>mi</w:t>
      </w:r>
      <w:r w:rsidR="00461EA5">
        <w:t xml:space="preserve"> </w:t>
      </w:r>
      <w:r w:rsidR="007C4FBE">
        <w:t>cent</w:t>
      </w:r>
      <w:r w:rsidR="00D97646">
        <w:t>ry (např. startup voucher)</w:t>
      </w:r>
      <w:r w:rsidR="00FF6DEA">
        <w:t xml:space="preserve"> či</w:t>
      </w:r>
      <w:r w:rsidR="00D97646">
        <w:t xml:space="preserve"> z</w:t>
      </w:r>
      <w:r w:rsidR="00FF6DEA">
        <w:t xml:space="preserve"> program</w:t>
      </w:r>
      <w:r w:rsidR="00EB54CF">
        <w:t>ů</w:t>
      </w:r>
      <w:r w:rsidR="00FF6DEA">
        <w:t xml:space="preserve"> TAČR (např. GAMA)</w:t>
      </w:r>
      <w:r w:rsidR="00D97646">
        <w:t>, ale</w:t>
      </w:r>
      <w:r w:rsidR="00FF6DEA">
        <w:t xml:space="preserve"> neexistuj</w:t>
      </w:r>
      <w:r w:rsidR="00EB54CF">
        <w:t>e</w:t>
      </w:r>
      <w:r w:rsidR="00FF6DEA">
        <w:t xml:space="preserve"> národní ucelený systém financování. Problematické</w:t>
      </w:r>
      <w:r w:rsidR="00E45972">
        <w:t xml:space="preserve"> je zejména splnění určitých podmínek pro daný program, které nejenom, že na sebe nenavazují, ale ještě tříští </w:t>
      </w:r>
      <w:r w:rsidR="005D04F0">
        <w:t xml:space="preserve">poskytovanou podporu do více těžko pochopitelných prvků. </w:t>
      </w:r>
      <w:r w:rsidR="007965F6">
        <w:t>Kritická je zejména n</w:t>
      </w:r>
      <w:r w:rsidR="00666306">
        <w:t>edostatečn</w:t>
      </w:r>
      <w:r w:rsidR="007965F6">
        <w:t>á</w:t>
      </w:r>
      <w:r w:rsidR="00666306">
        <w:t xml:space="preserve"> podpor</w:t>
      </w:r>
      <w:r w:rsidR="007965F6">
        <w:t>a pro</w:t>
      </w:r>
      <w:r w:rsidR="00666306">
        <w:t xml:space="preserve"> ověřování komerčního potenciálu výsledků výzkumu a vývoje (označovaná jako fáze </w:t>
      </w:r>
      <w:proofErr w:type="spellStart"/>
      <w:r w:rsidR="00666306">
        <w:t>Proof</w:t>
      </w:r>
      <w:proofErr w:type="spellEnd"/>
      <w:r w:rsidR="00666306">
        <w:t xml:space="preserve"> </w:t>
      </w:r>
      <w:proofErr w:type="spellStart"/>
      <w:r w:rsidR="00666306">
        <w:t>of</w:t>
      </w:r>
      <w:proofErr w:type="spellEnd"/>
      <w:r w:rsidR="00666306">
        <w:t xml:space="preserve"> </w:t>
      </w:r>
      <w:proofErr w:type="spellStart"/>
      <w:r w:rsidR="00666306">
        <w:t>Concept</w:t>
      </w:r>
      <w:proofErr w:type="spellEnd"/>
      <w:r w:rsidR="00666306">
        <w:t xml:space="preserve">). </w:t>
      </w:r>
      <w:r w:rsidR="007965F6">
        <w:t xml:space="preserve">Ačkoli např. </w:t>
      </w:r>
      <w:r w:rsidR="00666306">
        <w:t xml:space="preserve">program GAMA TA ČR napomáhá fázi komercializace vybraných výsledků </w:t>
      </w:r>
      <w:proofErr w:type="spellStart"/>
      <w:r w:rsidR="00666306">
        <w:t>VaV</w:t>
      </w:r>
      <w:proofErr w:type="spellEnd"/>
      <w:r w:rsidR="00666306">
        <w:t xml:space="preserve"> do praxe, je časově a zejména finančně omezen. Navíc je tento program zaměřen na podporu fáze „před v</w:t>
      </w:r>
      <w:r w:rsidR="007965F6">
        <w:t>z</w:t>
      </w:r>
      <w:r w:rsidR="00666306">
        <w:t>nikem“ firmy, a ne na fázi „přechodu“, kterou lze označit v případě komercializace know-how z veřejné organizace do soukromé společnosti za klíčovou</w:t>
      </w:r>
      <w:r w:rsidR="007965F6">
        <w:t>.</w:t>
      </w:r>
      <w:r w:rsidR="007C4FBE">
        <w:t xml:space="preserve"> Vytvářené aktivity </w:t>
      </w:r>
      <w:r w:rsidR="007C4FBE" w:rsidRPr="007C4FBE">
        <w:t>musí být součástí ucelené koncepce</w:t>
      </w:r>
      <w:r w:rsidR="007C4FBE">
        <w:t xml:space="preserve"> (</w:t>
      </w:r>
      <w:r w:rsidR="007C4FBE" w:rsidRPr="00F4564D">
        <w:rPr>
          <w:i/>
        </w:rPr>
        <w:t xml:space="preserve">např. </w:t>
      </w:r>
      <w:proofErr w:type="spellStart"/>
      <w:r w:rsidR="007C4FBE" w:rsidRPr="00F4564D">
        <w:rPr>
          <w:i/>
        </w:rPr>
        <w:t>Spinoff</w:t>
      </w:r>
      <w:proofErr w:type="spellEnd"/>
      <w:r w:rsidR="007C4FBE" w:rsidRPr="00F4564D">
        <w:rPr>
          <w:i/>
        </w:rPr>
        <w:t xml:space="preserve"> </w:t>
      </w:r>
      <w:proofErr w:type="spellStart"/>
      <w:r w:rsidR="007C4FBE" w:rsidRPr="00F4564D">
        <w:rPr>
          <w:i/>
        </w:rPr>
        <w:t>Guide</w:t>
      </w:r>
      <w:proofErr w:type="spellEnd"/>
      <w:r w:rsidR="007C4FBE" w:rsidRPr="00F4564D">
        <w:rPr>
          <w:i/>
        </w:rPr>
        <w:t xml:space="preserve"> v jiné kartě</w:t>
      </w:r>
      <w:r w:rsidR="00524F3D">
        <w:rPr>
          <w:i/>
        </w:rPr>
        <w:t xml:space="preserve"> pilíře</w:t>
      </w:r>
      <w:r w:rsidR="007C4FBE">
        <w:t>).</w:t>
      </w:r>
      <w:r w:rsidR="00643952">
        <w:t xml:space="preserve"> </w:t>
      </w:r>
      <w:r w:rsidR="00453C49">
        <w:t>Mezi kritické body patří zejména</w:t>
      </w:r>
      <w:r w:rsidR="00524F3D">
        <w:t xml:space="preserve"> s</w:t>
      </w:r>
      <w:r w:rsidR="00453C49">
        <w:t>ložitá administrativa</w:t>
      </w:r>
      <w:r w:rsidR="003F6888">
        <w:t xml:space="preserve"> (ale třeba podmínky 2leté historie)</w:t>
      </w:r>
      <w:r w:rsidR="00524F3D">
        <w:t>, s</w:t>
      </w:r>
      <w:r w:rsidR="00453C49">
        <w:t>ystém výzev, kde se neřeší aktuální potřeby firem</w:t>
      </w:r>
      <w:r w:rsidR="00524F3D">
        <w:t>, „š</w:t>
      </w:r>
      <w:r w:rsidR="003F6888">
        <w:t>katulkování“ způsobilých výdajů, které často neodpovídají individuálním potřebám firem</w:t>
      </w:r>
      <w:r w:rsidR="00524F3D">
        <w:t>; e</w:t>
      </w:r>
      <w:r w:rsidR="003F6888">
        <w:t xml:space="preserve">x post financování </w:t>
      </w:r>
      <w:r w:rsidR="00524F3D">
        <w:t>nevhodné pro startupy či r</w:t>
      </w:r>
      <w:r w:rsidR="00C53433">
        <w:t>ozdílné financování pro pražské a mimopražské firmy</w:t>
      </w:r>
      <w:r w:rsidR="00524F3D">
        <w:t>.</w:t>
      </w:r>
    </w:p>
    <w:tbl>
      <w:tblPr>
        <w:tblStyle w:val="Mkatabul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690"/>
        <w:gridCol w:w="990"/>
        <w:gridCol w:w="1250"/>
      </w:tblGrid>
      <w:tr w:rsidR="00F74C9B" w:rsidRPr="00F74C9B" w14:paraId="3626C411" w14:textId="77777777" w:rsidTr="003C1B80">
        <w:tc>
          <w:tcPr>
            <w:tcW w:w="421" w:type="dxa"/>
            <w:vAlign w:val="center"/>
          </w:tcPr>
          <w:p w14:paraId="44F576A9" w14:textId="70CA8E50" w:rsidR="00F74C9B" w:rsidRPr="00F74C9B" w:rsidRDefault="00F74C9B" w:rsidP="00F74C9B">
            <w:pPr>
              <w:rPr>
                <w:b/>
              </w:rPr>
            </w:pPr>
          </w:p>
        </w:tc>
        <w:tc>
          <w:tcPr>
            <w:tcW w:w="6750" w:type="dxa"/>
            <w:vAlign w:val="center"/>
          </w:tcPr>
          <w:p w14:paraId="17D61ABF" w14:textId="21781068" w:rsidR="00F74C9B" w:rsidRPr="00F74C9B" w:rsidRDefault="00F74C9B" w:rsidP="003C1B80">
            <w:pPr>
              <w:spacing w:after="120"/>
              <w:rPr>
                <w:b/>
              </w:rPr>
            </w:pPr>
            <w:r w:rsidRPr="00F74C9B">
              <w:rPr>
                <w:b/>
              </w:rPr>
              <w:t>Formy provedení</w:t>
            </w:r>
            <w:r w:rsidR="003C1B80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14:paraId="0BCCD3B4" w14:textId="161A2805" w:rsidR="00F74C9B" w:rsidRPr="00F74C9B" w:rsidRDefault="00F74C9B" w:rsidP="003C1B80">
            <w:pPr>
              <w:spacing w:after="120"/>
              <w:rPr>
                <w:b/>
              </w:rPr>
            </w:pPr>
            <w:r w:rsidRPr="00F74C9B">
              <w:rPr>
                <w:b/>
              </w:rPr>
              <w:t>Časové milníky</w:t>
            </w:r>
            <w:r w:rsidR="003C1B80">
              <w:rPr>
                <w:b/>
              </w:rPr>
              <w:t>:</w:t>
            </w:r>
          </w:p>
        </w:tc>
        <w:tc>
          <w:tcPr>
            <w:tcW w:w="1189" w:type="dxa"/>
            <w:vAlign w:val="center"/>
          </w:tcPr>
          <w:p w14:paraId="4BE24A5A" w14:textId="047E112D" w:rsidR="00F74C9B" w:rsidRPr="00F74C9B" w:rsidRDefault="00F74C9B" w:rsidP="003C1B80">
            <w:pPr>
              <w:spacing w:after="120"/>
              <w:rPr>
                <w:b/>
              </w:rPr>
            </w:pPr>
            <w:r w:rsidRPr="00F74C9B">
              <w:rPr>
                <w:b/>
              </w:rPr>
              <w:t>Finanční požadavky</w:t>
            </w:r>
            <w:r w:rsidR="003C1B80">
              <w:rPr>
                <w:b/>
              </w:rPr>
              <w:t>:</w:t>
            </w:r>
          </w:p>
        </w:tc>
      </w:tr>
      <w:tr w:rsidR="00F74C9B" w:rsidRPr="00F74C9B" w14:paraId="123CD2B8" w14:textId="77777777" w:rsidTr="003C1B80">
        <w:tc>
          <w:tcPr>
            <w:tcW w:w="421" w:type="dxa"/>
          </w:tcPr>
          <w:p w14:paraId="083C8530" w14:textId="77777777" w:rsidR="00F74C9B" w:rsidRPr="00F74C9B" w:rsidRDefault="00F74C9B" w:rsidP="0017692F">
            <w:r w:rsidRPr="00F74C9B">
              <w:t>a)</w:t>
            </w:r>
          </w:p>
        </w:tc>
        <w:tc>
          <w:tcPr>
            <w:tcW w:w="6750" w:type="dxa"/>
          </w:tcPr>
          <w:p w14:paraId="14CE4115" w14:textId="3C1D0778" w:rsidR="00F74C9B" w:rsidRPr="00F74C9B" w:rsidRDefault="00F74C9B" w:rsidP="00901680">
            <w:pPr>
              <w:jc w:val="both"/>
            </w:pPr>
            <w:r w:rsidRPr="00F74C9B">
              <w:t>Zmapování programů podpory</w:t>
            </w:r>
            <w:r w:rsidRPr="00F74C9B">
              <w:rPr>
                <w:rStyle w:val="Znakapoznpodarou"/>
              </w:rPr>
              <w:footnoteReference w:id="1"/>
            </w:r>
            <w:r w:rsidRPr="00F74C9B">
              <w:t xml:space="preserve"> pro startupy a </w:t>
            </w:r>
            <w:proofErr w:type="spellStart"/>
            <w:r w:rsidRPr="00F74C9B">
              <w:t>spinoffy</w:t>
            </w:r>
            <w:proofErr w:type="spellEnd"/>
            <w:r w:rsidRPr="00F74C9B">
              <w:t xml:space="preserve"> s cílem identifikace vhodnosti programů, případně určení kritických bodů/procesů </w:t>
            </w:r>
            <w:r w:rsidRPr="00F74C9B">
              <w:rPr>
                <w:rStyle w:val="Znakapoznpodarou"/>
              </w:rPr>
              <w:footnoteReference w:id="2"/>
            </w:r>
            <w:r w:rsidRPr="00F74C9B">
              <w:t xml:space="preserve"> a Zřízení expertní komise za účelem odstranění bariér při nových výzvách programů (OPK, TAČR apod.), která bude posuzovat podmínky a dopady nových programů určených pro startupy či spin-</w:t>
            </w:r>
            <w:proofErr w:type="spellStart"/>
            <w:r w:rsidRPr="00F74C9B">
              <w:t>offy</w:t>
            </w:r>
            <w:proofErr w:type="spellEnd"/>
            <w:r w:rsidRPr="00F74C9B">
              <w:t>, aby mohla být naplněna absorpční kapacita, a to na všech úrovních).</w:t>
            </w:r>
          </w:p>
        </w:tc>
        <w:tc>
          <w:tcPr>
            <w:tcW w:w="991" w:type="dxa"/>
          </w:tcPr>
          <w:p w14:paraId="47A37069" w14:textId="61828E8E" w:rsidR="00F74C9B" w:rsidRPr="00F74C9B" w:rsidRDefault="00F74C9B" w:rsidP="0017692F">
            <w:r w:rsidRPr="00F74C9B">
              <w:t>11/ 2019</w:t>
            </w:r>
          </w:p>
        </w:tc>
        <w:tc>
          <w:tcPr>
            <w:tcW w:w="1189" w:type="dxa"/>
          </w:tcPr>
          <w:p w14:paraId="641C454F" w14:textId="0DEEF274" w:rsidR="00F74C9B" w:rsidRPr="00F74C9B" w:rsidRDefault="00F74C9B" w:rsidP="0017692F">
            <w:r w:rsidRPr="00F74C9B">
              <w:t>Stávající (</w:t>
            </w:r>
            <w:r w:rsidR="00D048A6">
              <w:t>interní zdroje</w:t>
            </w:r>
            <w:r w:rsidRPr="00F74C9B">
              <w:t>)</w:t>
            </w:r>
          </w:p>
        </w:tc>
      </w:tr>
      <w:tr w:rsidR="00F74C9B" w:rsidRPr="00F74C9B" w14:paraId="0A8B470A" w14:textId="77777777" w:rsidTr="003C1B80">
        <w:tc>
          <w:tcPr>
            <w:tcW w:w="421" w:type="dxa"/>
          </w:tcPr>
          <w:p w14:paraId="3193F072" w14:textId="7487E6EF" w:rsidR="00F74C9B" w:rsidRPr="00F74C9B" w:rsidRDefault="00F74C9B" w:rsidP="0017692F">
            <w:r w:rsidRPr="00F74C9B">
              <w:t>b)</w:t>
            </w:r>
          </w:p>
        </w:tc>
        <w:tc>
          <w:tcPr>
            <w:tcW w:w="6750" w:type="dxa"/>
          </w:tcPr>
          <w:p w14:paraId="137C2088" w14:textId="04392064" w:rsidR="00F74C9B" w:rsidRPr="00F74C9B" w:rsidRDefault="00F74C9B" w:rsidP="00901680">
            <w:pPr>
              <w:jc w:val="both"/>
            </w:pPr>
            <w:r w:rsidRPr="00F74C9B">
              <w:t xml:space="preserve">Vyřešení systému financování v rámci </w:t>
            </w:r>
            <w:hyperlink r:id="rId8" w:history="1">
              <w:r w:rsidRPr="00F74C9B">
                <w:rPr>
                  <w:rStyle w:val="Hypertextovodkaz"/>
                </w:rPr>
                <w:t xml:space="preserve">programu </w:t>
              </w:r>
              <w:proofErr w:type="spellStart"/>
              <w:r w:rsidRPr="00F74C9B">
                <w:rPr>
                  <w:rStyle w:val="Hypertextovodkaz"/>
                </w:rPr>
                <w:t>The</w:t>
              </w:r>
              <w:proofErr w:type="spellEnd"/>
              <w:r w:rsidRPr="00F74C9B">
                <w:rPr>
                  <w:rStyle w:val="Hypertextovodkaz"/>
                </w:rPr>
                <w:t xml:space="preserve"> Country </w:t>
              </w:r>
              <w:proofErr w:type="spellStart"/>
              <w:r w:rsidRPr="00F74C9B">
                <w:rPr>
                  <w:rStyle w:val="Hypertextovodkaz"/>
                </w:rPr>
                <w:t>for</w:t>
              </w:r>
              <w:proofErr w:type="spellEnd"/>
              <w:r w:rsidRPr="00F74C9B">
                <w:rPr>
                  <w:rStyle w:val="Hypertextovodkaz"/>
                </w:rPr>
                <w:t xml:space="preserve"> </w:t>
              </w:r>
              <w:proofErr w:type="spellStart"/>
              <w:r w:rsidRPr="00F74C9B">
                <w:rPr>
                  <w:rStyle w:val="Hypertextovodkaz"/>
                </w:rPr>
                <w:t>The</w:t>
              </w:r>
              <w:proofErr w:type="spellEnd"/>
              <w:r w:rsidRPr="00F74C9B">
                <w:rPr>
                  <w:rStyle w:val="Hypertextovodkaz"/>
                </w:rPr>
                <w:t xml:space="preserve"> </w:t>
              </w:r>
              <w:proofErr w:type="spellStart"/>
              <w:r w:rsidRPr="00F74C9B">
                <w:rPr>
                  <w:rStyle w:val="Hypertextovodkaz"/>
                </w:rPr>
                <w:t>Future</w:t>
              </w:r>
              <w:proofErr w:type="spellEnd"/>
            </w:hyperlink>
            <w:r w:rsidRPr="00F74C9B">
              <w:t xml:space="preserve"> (CFF) spadající pod MPO, aby bylo umožněno financování pilíře 1 určeného na vznik high-tech start-upů, tematicky zaměřených technologických inkubačních center a internacionalizace.</w:t>
            </w:r>
          </w:p>
        </w:tc>
        <w:tc>
          <w:tcPr>
            <w:tcW w:w="991" w:type="dxa"/>
          </w:tcPr>
          <w:p w14:paraId="1BF8B017" w14:textId="3932CAAB" w:rsidR="00F74C9B" w:rsidRPr="00F74C9B" w:rsidRDefault="00F74C9B" w:rsidP="0017692F">
            <w:r w:rsidRPr="00F74C9B">
              <w:t>11/ 2020</w:t>
            </w:r>
          </w:p>
        </w:tc>
        <w:tc>
          <w:tcPr>
            <w:tcW w:w="1189" w:type="dxa"/>
          </w:tcPr>
          <w:p w14:paraId="2E881C0D" w14:textId="628488DC" w:rsidR="00F74C9B" w:rsidRPr="00F74C9B" w:rsidRDefault="00F74C9B" w:rsidP="0017692F">
            <w:r w:rsidRPr="00F74C9B">
              <w:t>Stávající (</w:t>
            </w:r>
            <w:proofErr w:type="gramStart"/>
            <w:r w:rsidRPr="00F74C9B">
              <w:t>SR</w:t>
            </w:r>
            <w:r w:rsidR="00D048A6">
              <w:t xml:space="preserve"> -</w:t>
            </w:r>
            <w:r w:rsidRPr="00F74C9B">
              <w:t xml:space="preserve"> CFF</w:t>
            </w:r>
            <w:proofErr w:type="gramEnd"/>
            <w:r w:rsidRPr="00F74C9B">
              <w:t>…)</w:t>
            </w:r>
          </w:p>
        </w:tc>
      </w:tr>
      <w:tr w:rsidR="00F74C9B" w:rsidRPr="00F74C9B" w14:paraId="02772C02" w14:textId="77777777" w:rsidTr="003C1B80">
        <w:tc>
          <w:tcPr>
            <w:tcW w:w="421" w:type="dxa"/>
          </w:tcPr>
          <w:p w14:paraId="0BF46675" w14:textId="2779CAEB" w:rsidR="00F74C9B" w:rsidRPr="00F74C9B" w:rsidRDefault="00F74C9B" w:rsidP="0017692F">
            <w:r w:rsidRPr="00F74C9B">
              <w:t>c)</w:t>
            </w:r>
          </w:p>
        </w:tc>
        <w:tc>
          <w:tcPr>
            <w:tcW w:w="6750" w:type="dxa"/>
          </w:tcPr>
          <w:p w14:paraId="3A0B5332" w14:textId="0507E353" w:rsidR="00F74C9B" w:rsidRPr="00F74C9B" w:rsidRDefault="00F74C9B" w:rsidP="003B064E">
            <w:pPr>
              <w:jc w:val="both"/>
            </w:pPr>
            <w:r w:rsidRPr="00F74C9B">
              <w:t xml:space="preserve">Celorepublikové pokrytí podpory </w:t>
            </w:r>
            <w:proofErr w:type="spellStart"/>
            <w:r w:rsidRPr="00F74C9B">
              <w:t>startups</w:t>
            </w:r>
            <w:proofErr w:type="spellEnd"/>
            <w:r w:rsidRPr="00F74C9B">
              <w:t xml:space="preserve"> a spin-</w:t>
            </w:r>
            <w:proofErr w:type="spellStart"/>
            <w:r w:rsidRPr="00F74C9B">
              <w:t>offs</w:t>
            </w:r>
            <w:proofErr w:type="spellEnd"/>
            <w:r w:rsidRPr="00F74C9B">
              <w:t xml:space="preserve"> – jedná se zejména o zajištění převodu finančních prostředků v rámci nového programového období v programu OPK, aby z něho mohli být podporovány i pražské startupy.</w:t>
            </w:r>
          </w:p>
        </w:tc>
        <w:tc>
          <w:tcPr>
            <w:tcW w:w="991" w:type="dxa"/>
          </w:tcPr>
          <w:p w14:paraId="5F8383F2" w14:textId="6C95C747" w:rsidR="00F74C9B" w:rsidRPr="00F74C9B" w:rsidRDefault="00F74C9B" w:rsidP="0017692F">
            <w:r w:rsidRPr="00F74C9B">
              <w:t>Od 12/ 2020</w:t>
            </w:r>
          </w:p>
        </w:tc>
        <w:tc>
          <w:tcPr>
            <w:tcW w:w="1189" w:type="dxa"/>
          </w:tcPr>
          <w:p w14:paraId="5369D280" w14:textId="2A5F5BB0" w:rsidR="00F74C9B" w:rsidRPr="00F74C9B" w:rsidRDefault="00F74C9B" w:rsidP="0017692F">
            <w:proofErr w:type="gramStart"/>
            <w:r w:rsidRPr="00F74C9B">
              <w:t>nový - ESIF</w:t>
            </w:r>
            <w:proofErr w:type="gramEnd"/>
            <w:r w:rsidRPr="00F74C9B">
              <w:t xml:space="preserve"> (OP K)</w:t>
            </w:r>
          </w:p>
        </w:tc>
      </w:tr>
      <w:tr w:rsidR="00F74C9B" w:rsidRPr="00F74C9B" w14:paraId="06B7F034" w14:textId="77777777" w:rsidTr="003C1B80">
        <w:tc>
          <w:tcPr>
            <w:tcW w:w="421" w:type="dxa"/>
          </w:tcPr>
          <w:p w14:paraId="126F1B88" w14:textId="37550F88" w:rsidR="00F74C9B" w:rsidRPr="00F74C9B" w:rsidRDefault="00F74C9B" w:rsidP="0017692F">
            <w:r w:rsidRPr="00F74C9B">
              <w:t>d)</w:t>
            </w:r>
          </w:p>
        </w:tc>
        <w:tc>
          <w:tcPr>
            <w:tcW w:w="6750" w:type="dxa"/>
          </w:tcPr>
          <w:p w14:paraId="4B7FFE7B" w14:textId="74D0B644" w:rsidR="00F74C9B" w:rsidRPr="00F74C9B" w:rsidRDefault="00F74C9B" w:rsidP="0017692F">
            <w:pPr>
              <w:rPr>
                <w:highlight w:val="yellow"/>
              </w:rPr>
            </w:pPr>
            <w:r w:rsidRPr="00F74C9B">
              <w:t>Realizace programu GAMA2 a příprava nového programu GAMA3</w:t>
            </w:r>
            <w:r w:rsidRPr="00F74C9B">
              <w:rPr>
                <w:lang w:val="en-US"/>
              </w:rPr>
              <w:t>*</w:t>
            </w:r>
          </w:p>
        </w:tc>
        <w:tc>
          <w:tcPr>
            <w:tcW w:w="991" w:type="dxa"/>
          </w:tcPr>
          <w:p w14:paraId="085298DE" w14:textId="470E3C2B" w:rsidR="00F74C9B" w:rsidRPr="00F74C9B" w:rsidRDefault="00F74C9B" w:rsidP="0017692F">
            <w:proofErr w:type="gramStart"/>
            <w:r w:rsidRPr="00F74C9B">
              <w:t>2020 - 2022</w:t>
            </w:r>
            <w:proofErr w:type="gramEnd"/>
          </w:p>
        </w:tc>
        <w:tc>
          <w:tcPr>
            <w:tcW w:w="1189" w:type="dxa"/>
          </w:tcPr>
          <w:p w14:paraId="63BF2A81" w14:textId="0D2911D0" w:rsidR="00F74C9B" w:rsidRPr="00F74C9B" w:rsidRDefault="00F74C9B" w:rsidP="0017692F">
            <w:r w:rsidRPr="00F74C9B">
              <w:t>SR</w:t>
            </w:r>
            <w:r>
              <w:t xml:space="preserve"> (TAČR)</w:t>
            </w:r>
          </w:p>
        </w:tc>
      </w:tr>
    </w:tbl>
    <w:p w14:paraId="64E95F16" w14:textId="3E8D520A" w:rsidR="005D34EB" w:rsidRPr="005D34EB" w:rsidRDefault="005D34EB" w:rsidP="003B2976">
      <w:pPr>
        <w:spacing w:after="0" w:line="240" w:lineRule="auto"/>
        <w:rPr>
          <w:b/>
        </w:rPr>
      </w:pPr>
    </w:p>
    <w:sectPr w:rsidR="005D34EB" w:rsidRPr="005D34EB" w:rsidSect="005242E6">
      <w:headerReference w:type="default" r:id="rId9"/>
      <w:pgSz w:w="11906" w:h="16838"/>
      <w:pgMar w:top="1418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844CA" w14:textId="77777777" w:rsidR="00E53C57" w:rsidRDefault="00E53C57" w:rsidP="00E53C57">
      <w:pPr>
        <w:spacing w:after="0" w:line="240" w:lineRule="auto"/>
      </w:pPr>
      <w:r>
        <w:separator/>
      </w:r>
    </w:p>
  </w:endnote>
  <w:endnote w:type="continuationSeparator" w:id="0">
    <w:p w14:paraId="420BF15F" w14:textId="77777777" w:rsidR="00E53C57" w:rsidRDefault="00E53C57" w:rsidP="00E53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E3BD7" w14:textId="77777777" w:rsidR="00E53C57" w:rsidRDefault="00E53C57" w:rsidP="00E53C57">
      <w:pPr>
        <w:spacing w:after="0" w:line="240" w:lineRule="auto"/>
      </w:pPr>
      <w:r>
        <w:separator/>
      </w:r>
    </w:p>
  </w:footnote>
  <w:footnote w:type="continuationSeparator" w:id="0">
    <w:p w14:paraId="121C6FD5" w14:textId="77777777" w:rsidR="00E53C57" w:rsidRDefault="00E53C57" w:rsidP="00E53C57">
      <w:pPr>
        <w:spacing w:after="0" w:line="240" w:lineRule="auto"/>
      </w:pPr>
      <w:r>
        <w:continuationSeparator/>
      </w:r>
    </w:p>
  </w:footnote>
  <w:footnote w:id="1">
    <w:p w14:paraId="691018C8" w14:textId="592B9A5B" w:rsidR="00F74C9B" w:rsidRPr="00327716" w:rsidRDefault="00F74C9B">
      <w:pPr>
        <w:pStyle w:val="Textpoznpodarou"/>
        <w:rPr>
          <w:sz w:val="12"/>
          <w:szCs w:val="16"/>
        </w:rPr>
      </w:pPr>
      <w:r w:rsidRPr="00643952">
        <w:rPr>
          <w:rStyle w:val="Znakapoznpodarou"/>
          <w:sz w:val="16"/>
          <w:szCs w:val="16"/>
        </w:rPr>
        <w:footnoteRef/>
      </w:r>
      <w:r w:rsidRPr="00643952">
        <w:rPr>
          <w:sz w:val="16"/>
          <w:szCs w:val="16"/>
        </w:rPr>
        <w:t xml:space="preserve"> </w:t>
      </w:r>
      <w:r w:rsidRPr="00327716">
        <w:rPr>
          <w:sz w:val="12"/>
          <w:szCs w:val="16"/>
        </w:rPr>
        <w:t xml:space="preserve">Mluvíme-li o uceleném systému podpory vzniku start-up a spin </w:t>
      </w:r>
      <w:proofErr w:type="spellStart"/>
      <w:r w:rsidRPr="00327716">
        <w:rPr>
          <w:sz w:val="12"/>
          <w:szCs w:val="16"/>
        </w:rPr>
        <w:t>off</w:t>
      </w:r>
      <w:proofErr w:type="spellEnd"/>
      <w:r w:rsidRPr="00327716">
        <w:rPr>
          <w:sz w:val="12"/>
          <w:szCs w:val="16"/>
        </w:rPr>
        <w:t xml:space="preserve"> firem je potřeba si uvědomit, že podpora první etapy do jejich založení (</w:t>
      </w:r>
      <w:proofErr w:type="spellStart"/>
      <w:r w:rsidRPr="00327716">
        <w:rPr>
          <w:sz w:val="12"/>
          <w:szCs w:val="16"/>
        </w:rPr>
        <w:t>VaV</w:t>
      </w:r>
      <w:proofErr w:type="spellEnd"/>
      <w:r w:rsidRPr="00327716">
        <w:rPr>
          <w:sz w:val="12"/>
          <w:szCs w:val="16"/>
        </w:rPr>
        <w:t xml:space="preserve"> a </w:t>
      </w:r>
      <w:proofErr w:type="spellStart"/>
      <w:r w:rsidRPr="00327716">
        <w:rPr>
          <w:sz w:val="12"/>
          <w:szCs w:val="16"/>
        </w:rPr>
        <w:t>proof</w:t>
      </w:r>
      <w:proofErr w:type="spellEnd"/>
      <w:r w:rsidRPr="00327716">
        <w:rPr>
          <w:sz w:val="12"/>
          <w:szCs w:val="16"/>
        </w:rPr>
        <w:t xml:space="preserve"> </w:t>
      </w:r>
      <w:proofErr w:type="spellStart"/>
      <w:r w:rsidRPr="00327716">
        <w:rPr>
          <w:sz w:val="12"/>
          <w:szCs w:val="16"/>
        </w:rPr>
        <w:t>of</w:t>
      </w:r>
      <w:proofErr w:type="spellEnd"/>
      <w:r w:rsidRPr="00327716">
        <w:rPr>
          <w:sz w:val="12"/>
          <w:szCs w:val="16"/>
        </w:rPr>
        <w:t xml:space="preserve"> </w:t>
      </w:r>
      <w:proofErr w:type="spellStart"/>
      <w:r w:rsidRPr="00327716">
        <w:rPr>
          <w:sz w:val="12"/>
          <w:szCs w:val="16"/>
        </w:rPr>
        <w:t>concept</w:t>
      </w:r>
      <w:proofErr w:type="spellEnd"/>
      <w:r w:rsidRPr="00327716">
        <w:rPr>
          <w:sz w:val="12"/>
          <w:szCs w:val="16"/>
        </w:rPr>
        <w:t>), která se týká VO, není považována za veřejnou podporu. Po založení firmy se již o veřejnou podporu jedná. Bude proto nutné jasně stanovit, které činnosti pod veřejnou podporu spadají a které ne. Oblast podpory výzkumu, vývoje a inovací je určena zákonem č. 130/2002 (zákon o podpoře výzkumu, experimentálního vývoje a inovací). Oblast podpory malých středních podniků je určena Zákonem o MSP (zákon 47/2002 o podpoře malého a středního podnikání). Z toho důvodu často nedochází k překlenutí „gapu“.</w:t>
      </w:r>
    </w:p>
  </w:footnote>
  <w:footnote w:id="2">
    <w:p w14:paraId="383ABC46" w14:textId="123F1CFE" w:rsidR="00F74C9B" w:rsidRPr="001B33E2" w:rsidRDefault="00F74C9B">
      <w:pPr>
        <w:pStyle w:val="Textpoznpodarou"/>
        <w:rPr>
          <w:sz w:val="12"/>
          <w:szCs w:val="16"/>
        </w:rPr>
      </w:pPr>
      <w:r w:rsidRPr="00327716">
        <w:rPr>
          <w:rStyle w:val="Znakapoznpodarou"/>
          <w:sz w:val="12"/>
          <w:szCs w:val="16"/>
        </w:rPr>
        <w:footnoteRef/>
      </w:r>
      <w:r w:rsidRPr="00327716">
        <w:rPr>
          <w:sz w:val="12"/>
          <w:szCs w:val="16"/>
        </w:rPr>
        <w:t xml:space="preserve"> Příkladem může být např. obdoba </w:t>
      </w:r>
      <w:hyperlink r:id="rId1" w:history="1">
        <w:r w:rsidRPr="00327716">
          <w:rPr>
            <w:rStyle w:val="Hypertextovodkaz"/>
            <w:sz w:val="12"/>
            <w:szCs w:val="16"/>
          </w:rPr>
          <w:t>evropského SME Instrument</w:t>
        </w:r>
      </w:hyperlink>
      <w:r w:rsidRPr="00327716">
        <w:rPr>
          <w:sz w:val="12"/>
          <w:szCs w:val="16"/>
        </w:rPr>
        <w:t xml:space="preserve"> – jednoduché ex ante poskytování prostředků např. ve výši 50 tis. Eur dle splněných daných podmínek, a to na náklady související </w:t>
      </w:r>
      <w:proofErr w:type="gramStart"/>
      <w:r w:rsidRPr="00327716">
        <w:rPr>
          <w:sz w:val="12"/>
          <w:szCs w:val="16"/>
        </w:rPr>
        <w:t>s</w:t>
      </w:r>
      <w:proofErr w:type="gramEnd"/>
      <w:r w:rsidRPr="00327716">
        <w:rPr>
          <w:sz w:val="12"/>
          <w:szCs w:val="16"/>
        </w:rPr>
        <w:t xml:space="preserve"> vývoje produktu, </w:t>
      </w:r>
      <w:proofErr w:type="spellStart"/>
      <w:r w:rsidRPr="00327716">
        <w:rPr>
          <w:sz w:val="12"/>
          <w:szCs w:val="16"/>
        </w:rPr>
        <w:t>protypováním</w:t>
      </w:r>
      <w:proofErr w:type="spellEnd"/>
      <w:r w:rsidRPr="00327716">
        <w:rPr>
          <w:sz w:val="12"/>
          <w:szCs w:val="16"/>
        </w:rPr>
        <w:t>, ale i tzv. měkkých služeb.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C7C61" w14:textId="50DA8D7D" w:rsidR="00E53C57" w:rsidRDefault="00E53C57" w:rsidP="00E53C57">
    <w:pPr>
      <w:pStyle w:val="Zhlav"/>
      <w:jc w:val="right"/>
    </w:pPr>
    <w:r>
      <w:rPr>
        <w:noProof/>
      </w:rPr>
      <w:drawing>
        <wp:inline distT="0" distB="0" distL="0" distR="0" wp14:anchorId="6B72D72A" wp14:editId="05F40DBE">
          <wp:extent cx="1891236" cy="818984"/>
          <wp:effectExtent l="0" t="0" r="0" b="635"/>
          <wp:docPr id="10" name="Obrázek 10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915710" cy="8295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B4D17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3402"/>
    <w:multiLevelType w:val="hybridMultilevel"/>
    <w:tmpl w:val="082CD2F0"/>
    <w:lvl w:ilvl="0" w:tplc="8AB266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05FB4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705E5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E3F2E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11DCD"/>
    <w:multiLevelType w:val="hybridMultilevel"/>
    <w:tmpl w:val="C3F8B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6AE0E27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E25DC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51D3A"/>
    <w:multiLevelType w:val="hybridMultilevel"/>
    <w:tmpl w:val="E7264CB6"/>
    <w:lvl w:ilvl="0" w:tplc="8AB266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06A17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57550"/>
    <w:multiLevelType w:val="hybridMultilevel"/>
    <w:tmpl w:val="CDBAEE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8"/>
  </w:num>
  <w:num w:numId="4">
    <w:abstractNumId w:val="16"/>
  </w:num>
  <w:num w:numId="5">
    <w:abstractNumId w:val="4"/>
  </w:num>
  <w:num w:numId="6">
    <w:abstractNumId w:val="3"/>
  </w:num>
  <w:num w:numId="7">
    <w:abstractNumId w:val="13"/>
  </w:num>
  <w:num w:numId="8">
    <w:abstractNumId w:val="20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  <w:num w:numId="13">
    <w:abstractNumId w:val="19"/>
  </w:num>
  <w:num w:numId="14">
    <w:abstractNumId w:val="2"/>
  </w:num>
  <w:num w:numId="15">
    <w:abstractNumId w:val="12"/>
  </w:num>
  <w:num w:numId="16">
    <w:abstractNumId w:val="17"/>
  </w:num>
  <w:num w:numId="17">
    <w:abstractNumId w:val="10"/>
  </w:num>
  <w:num w:numId="18">
    <w:abstractNumId w:val="0"/>
  </w:num>
  <w:num w:numId="19">
    <w:abstractNumId w:val="21"/>
  </w:num>
  <w:num w:numId="20">
    <w:abstractNumId w:val="14"/>
  </w:num>
  <w:num w:numId="21">
    <w:abstractNumId w:val="7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91995"/>
    <w:rsid w:val="00095929"/>
    <w:rsid w:val="000E73BE"/>
    <w:rsid w:val="00112CAB"/>
    <w:rsid w:val="00132B45"/>
    <w:rsid w:val="001B33E2"/>
    <w:rsid w:val="00226D35"/>
    <w:rsid w:val="002334CE"/>
    <w:rsid w:val="0029006D"/>
    <w:rsid w:val="002C7A4F"/>
    <w:rsid w:val="00325130"/>
    <w:rsid w:val="00327716"/>
    <w:rsid w:val="0036439C"/>
    <w:rsid w:val="0039782C"/>
    <w:rsid w:val="003B064E"/>
    <w:rsid w:val="003B2976"/>
    <w:rsid w:val="003C1B80"/>
    <w:rsid w:val="003F6888"/>
    <w:rsid w:val="003F7793"/>
    <w:rsid w:val="00402F1C"/>
    <w:rsid w:val="00406A72"/>
    <w:rsid w:val="004467B0"/>
    <w:rsid w:val="00453C49"/>
    <w:rsid w:val="00461EA5"/>
    <w:rsid w:val="00475968"/>
    <w:rsid w:val="004C6FBE"/>
    <w:rsid w:val="004E0A5D"/>
    <w:rsid w:val="005242E6"/>
    <w:rsid w:val="00524F3D"/>
    <w:rsid w:val="005712F2"/>
    <w:rsid w:val="00592AEF"/>
    <w:rsid w:val="005C31EE"/>
    <w:rsid w:val="005D04F0"/>
    <w:rsid w:val="005D34EB"/>
    <w:rsid w:val="005E45C7"/>
    <w:rsid w:val="00642855"/>
    <w:rsid w:val="00643952"/>
    <w:rsid w:val="0066066C"/>
    <w:rsid w:val="00666306"/>
    <w:rsid w:val="006A27E3"/>
    <w:rsid w:val="006B541E"/>
    <w:rsid w:val="006C5DF6"/>
    <w:rsid w:val="007336FC"/>
    <w:rsid w:val="00760958"/>
    <w:rsid w:val="007965F6"/>
    <w:rsid w:val="007C3395"/>
    <w:rsid w:val="007C4FBE"/>
    <w:rsid w:val="007C5F66"/>
    <w:rsid w:val="00860491"/>
    <w:rsid w:val="00875ABB"/>
    <w:rsid w:val="008D35A8"/>
    <w:rsid w:val="00901680"/>
    <w:rsid w:val="0094615E"/>
    <w:rsid w:val="0099185B"/>
    <w:rsid w:val="009D0160"/>
    <w:rsid w:val="009D45D1"/>
    <w:rsid w:val="00A37DB6"/>
    <w:rsid w:val="00A62B7A"/>
    <w:rsid w:val="00AD6BC6"/>
    <w:rsid w:val="00B107BA"/>
    <w:rsid w:val="00B41F5C"/>
    <w:rsid w:val="00B63A5A"/>
    <w:rsid w:val="00B82C5A"/>
    <w:rsid w:val="00B84779"/>
    <w:rsid w:val="00B851B6"/>
    <w:rsid w:val="00B85EC1"/>
    <w:rsid w:val="00BB738A"/>
    <w:rsid w:val="00BE4789"/>
    <w:rsid w:val="00C20E65"/>
    <w:rsid w:val="00C23F27"/>
    <w:rsid w:val="00C46FFD"/>
    <w:rsid w:val="00C53433"/>
    <w:rsid w:val="00C86DF2"/>
    <w:rsid w:val="00CD193C"/>
    <w:rsid w:val="00D048A6"/>
    <w:rsid w:val="00D75C83"/>
    <w:rsid w:val="00D82385"/>
    <w:rsid w:val="00D97646"/>
    <w:rsid w:val="00DF122B"/>
    <w:rsid w:val="00E45972"/>
    <w:rsid w:val="00E53C57"/>
    <w:rsid w:val="00EB54CF"/>
    <w:rsid w:val="00ED429E"/>
    <w:rsid w:val="00EE5426"/>
    <w:rsid w:val="00F01CC4"/>
    <w:rsid w:val="00F036A8"/>
    <w:rsid w:val="00F4564D"/>
    <w:rsid w:val="00F5566D"/>
    <w:rsid w:val="00F74C9B"/>
    <w:rsid w:val="00F94C14"/>
    <w:rsid w:val="00FA0641"/>
    <w:rsid w:val="00FA16DF"/>
    <w:rsid w:val="00FB2BD9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5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3C57"/>
  </w:style>
  <w:style w:type="paragraph" w:styleId="Zpat">
    <w:name w:val="footer"/>
    <w:basedOn w:val="Normln"/>
    <w:link w:val="ZpatChar"/>
    <w:uiPriority w:val="99"/>
    <w:unhideWhenUsed/>
    <w:rsid w:val="00E5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3C57"/>
  </w:style>
  <w:style w:type="character" w:customStyle="1" w:styleId="normaltextrun">
    <w:name w:val="normaltextrun"/>
    <w:basedOn w:val="Standardnpsmoodstavce"/>
    <w:rsid w:val="00F94C14"/>
  </w:style>
  <w:style w:type="character" w:customStyle="1" w:styleId="eop">
    <w:name w:val="eop"/>
    <w:basedOn w:val="Standardnpsmoodstavce"/>
    <w:rsid w:val="00F94C14"/>
  </w:style>
  <w:style w:type="table" w:styleId="Mkatabulky">
    <w:name w:val="Table Grid"/>
    <w:basedOn w:val="Normlntabulka"/>
    <w:uiPriority w:val="39"/>
    <w:rsid w:val="00F9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A62B7A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0168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0168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01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o.cz/cz/podnikani/podpora-vyzkumu-a-vyvoje/novy-program-na-podporu-inovaci-the-country-for-the-future--24652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programmes/horizon2020/en/h2020-section/eic-accelerator-pilo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5FB5F-986A-4C3E-B81F-9EB1CE9B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25</cp:revision>
  <dcterms:created xsi:type="dcterms:W3CDTF">2019-06-20T14:07:00Z</dcterms:created>
  <dcterms:modified xsi:type="dcterms:W3CDTF">2019-09-28T14:24:00Z</dcterms:modified>
</cp:coreProperties>
</file>